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01" w:rsidRPr="00085201" w:rsidRDefault="00085201" w:rsidP="00085201">
      <w:pPr>
        <w:shd w:val="clear" w:color="auto" w:fill="FFFFFF"/>
        <w:spacing w:after="0" w:line="660" w:lineRule="atLeast"/>
        <w:jc w:val="both"/>
        <w:textAlignment w:val="baseline"/>
        <w:outlineLvl w:val="0"/>
        <w:rPr>
          <w:rFonts w:ascii="Georgia" w:eastAsia="Times New Roman" w:hAnsi="Georgia" w:cs="Times New Roman"/>
          <w:b/>
          <w:bCs/>
          <w:color w:val="444444"/>
          <w:sz w:val="27"/>
          <w:szCs w:val="27"/>
          <w:lang w:eastAsia="it-IT"/>
        </w:rPr>
      </w:pPr>
      <w:r>
        <w:rPr>
          <w:rFonts w:ascii="Arial" w:eastAsia="Times New Roman" w:hAnsi="Arial" w:cs="Arial"/>
          <w:b/>
          <w:bCs/>
          <w:caps/>
          <w:color w:val="444444"/>
          <w:kern w:val="36"/>
          <w:sz w:val="60"/>
          <w:szCs w:val="60"/>
          <w:lang w:eastAsia="it-IT"/>
        </w:rPr>
        <w:t>“</w:t>
      </w:r>
      <w:r w:rsidRPr="00085201">
        <w:rPr>
          <w:rFonts w:ascii="Arial" w:eastAsia="Times New Roman" w:hAnsi="Arial" w:cs="Arial"/>
          <w:b/>
          <w:bCs/>
          <w:caps/>
          <w:color w:val="444444"/>
          <w:kern w:val="36"/>
          <w:sz w:val="60"/>
          <w:szCs w:val="60"/>
          <w:lang w:eastAsia="it-IT"/>
        </w:rPr>
        <w:t xml:space="preserve">LA CULTURA DELLA </w:t>
      </w:r>
      <w:r>
        <w:rPr>
          <w:rFonts w:ascii="Arial" w:eastAsia="Times New Roman" w:hAnsi="Arial" w:cs="Arial"/>
          <w:b/>
          <w:bCs/>
          <w:caps/>
          <w:color w:val="444444"/>
          <w:kern w:val="36"/>
          <w:sz w:val="60"/>
          <w:szCs w:val="60"/>
          <w:lang w:eastAsia="it-IT"/>
        </w:rPr>
        <w:t>CURA COME PERCORSO DI PACE”</w:t>
      </w:r>
    </w:p>
    <w:p w:rsid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it-IT"/>
        </w:rPr>
      </w:pPr>
    </w:p>
    <w:p w:rsid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it-IT"/>
        </w:rPr>
      </w:pPr>
    </w:p>
    <w:p w:rsid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inherit" w:eastAsia="Times New Roman" w:hAnsi="inherit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La cultura della cura come percorso di pace</w:t>
      </w:r>
    </w:p>
    <w:p w:rsid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AAAAAA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Alle soglie del nuovo anno, desidero porgere i miei più rispettosi saluti ai Capi di Stato e di Governo, ai responsabili delle Organizzazioni internazionali, ai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leader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spirituali e ai fedeli delle varie religioni, agli uomini e alle donne di buona volontà. A tutti rivolgo i miei migliori auguri, affinché quest’anno possa far progredire l’umanità sulla via della fraternità, della giustizia e della pace fra le persone, le comunità, i popoli e gli Stati.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Il 2020 è stato segnato dalla grande crisi sanitaria del Covid-19, trasformatasi in un fenomeno multisettoriale e globale, aggravando crisi tra loro fortemente interrelate, come quelle climatica, alimentare, economica e migratoria, e provocando pesanti sofferenze e disagi. Penso anzitutto a coloro che hanno perso un familiare o una persona cara, ma anche a quanti sono rimasti senza lavoro. Un ricordo speciale va ai medici, agli infermieri, ai farmacisti, ai ricercatori, ai volontari, ai cappellani e al personale di ospedali e centri sanitari, che si sono prodigati e continuano a farlo, con grandi fatiche e sacrifici, al punto che alcuni di loro sono morti nel tentativo di essere accanto ai malati, di alleviarne le sofferenze o salvarne la vita. Nel rendere omaggio a queste persone, rinnovo l’appello ai responsabili politici e al settore privato affinché adottino le misure adeguate a garantire l’accesso ai vaccini contro il Covid-19 e alle tecnologie essenziali necessarie per assistere i malati e tutti coloro che sono più poveri e più fragili.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Duole constatare che, accanto a numerose testimonianze di carità e solidarietà, prendono purtroppo nuovo slancio diverse forme di nazionalismo, razzismo, xenofobia e anche guerre e conflitti che seminano morte e distruzione.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Questi e altri eventi, che hanno segnato il cammino dell’umanità nell’anno trascorso, ci insegnano l’importanza di prenderci cura gli uni degli altri e del creato, per costruire una società fondata su rapporti di fratellanza. Perciò ho scelto come tema di questo messaggio: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La cultura della cura come percorso di pace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. Cultura della cura per debellare la cultura dell’indifferenza, dello scarto e dello scontro, oggi spesso prevalente.</w:t>
      </w: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  <w:r w:rsidRPr="00085201"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  <w:t>DIO CREATORE, ORIGINE DELLA VOCAZIONE UMANA ALLA CURA</w:t>
      </w: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In molte tradizioni religiose, vi sono narrazioni che si riferiscono all’origine dell’uomo, al suo rapporto con il Creatore, con la natura e con i suoi simili. Nella Bibbia, il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Libro della Genesi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rivela, fin dal principio, l’importanza della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cura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o del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custodire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nel progetto di Dio per l’umanità, mettendo in luce il rapporto tra l’uomo (’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adam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) e la terra (’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adamah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) e tra i fratelli. Nel racconto biblico della creazione, Dio affida il giardino “piantato nell’Eden” (</w:t>
      </w:r>
      <w:proofErr w:type="spellStart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cfr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Gen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2,8) alle mani di Adamo con l’incarico di “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coltivarlo e custodirlo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” (</w:t>
      </w:r>
      <w:proofErr w:type="spellStart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cfr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Gen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2,15). Ciò significa, da una parte, rendere la terra produttiva e, dall’altra, proteggerla e farle conservare la sua capacità di sostenere la vita. I verbi “coltivare” e “custodire” descrivono il rapporto di Adamo con la sua casa-giardino e indicano pure la fiducia che Dio ripone in lui facendolo signore e custode dell’intera creazione.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La nascita di Caino e Abele genera una storia di fratelli, il rapporto tra i quali sarà interpretato – negativamente – da Caino in termini di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tutela 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o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custodia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. Dopo aver ucciso suo fratello Abele, Caino risponde così alla domanda di Dio: «Sono forse io il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custode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di mio fratello?» (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Gen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4,9) Sì, certamente! Caino è il “custode” di suo fratello. «In questi racconti così antichi, ricchi di profondo simbolismo, era già contenuta una convinzione oggi sentita: che tutto è in relazione, e che la cura autentica della nostra stessa vita e delle nostre relazioni con la natura è inseparabile dalla fraternità, dalla giustizia e dalla fedeltà nei confronti degli altri».</w:t>
      </w: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  <w:r w:rsidRPr="00085201"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  <w:t>DIO CREATORE, MODELLO DELLA CURA</w:t>
      </w: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 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La Sacra Scrittura presenta Dio, oltre che come Creatore, come Colui che si prende cura delle sue creature, in particolare di Adamo, di Eva e dei loro figli. Lo stesso Caino, benché su di lui ricada la maledizione a motivo del crimine che ha compiuto, riceve in dono dal Creatore un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segno di protezione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, affinché la sua vita sia salvaguardata (</w:t>
      </w:r>
      <w:proofErr w:type="spellStart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cfr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Gen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4,15). Questo fatto, mentre conferma la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dignità inviolabile 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della persona, creata ad immagine e somiglianza di Dio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,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manifesta anche il piano divino per preservare l’armonia della creazione, perché «la pace e la violenza non possono abitare nella stessa dimora».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Proprio la cura del creato è alla base dell’istituzione dello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Shabbat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che, oltre a regolare il culto divino, mirava a ristabilire l’ordine sociale e l’attenzione per i poveri (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Gen</w:t>
      </w:r>
      <w:proofErr w:type="spellEnd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 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1,1-3; 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Lv</w:t>
      </w:r>
      <w:proofErr w:type="spellEnd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 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25,4). La celebrazione del Giubileo, nella ricorrenza del settimo anno sabbatico, consentiva una tregua alla terra, agli schiavi e agli indebitati. In questo anno di grazia, ci si prendeva cura dei più fragili, offrendo loro una nuova prospettiva di vita, così che non vi fosse alcun bisognoso nel popolo (</w:t>
      </w:r>
      <w:proofErr w:type="spellStart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cfr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Dt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15,4).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Degna di nota è anche la tradizione profetica, dove il vertice della comprensione biblica della giustizia si manifesta nel modo in cui una comunità tratta i più deboli al proprio interno. È per questo che Amos (2,6-8; 8) e Isaia (58), in particolare, alzano continuamente la loro voce a favore della giustizia per i poveri, i quali, per la loro vulnerabilità e mancanza di potere, sono ascoltati solo da Dio, che si prende cura di loro (</w:t>
      </w:r>
      <w:proofErr w:type="spellStart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cfr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Sal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34,7; 113,7-8).</w:t>
      </w: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  <w:r w:rsidRPr="00085201"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  <w:t>LA CURA NEL MINISTERO DI GESÙ</w:t>
      </w:r>
    </w:p>
    <w:p w:rsid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La vita e il ministero di Gesù incarnano l’apice della rivelazione dell’amore del Padre per l’umanità (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Gv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 xml:space="preserve"> 3,16). Nella sinagoga di </w:t>
      </w:r>
      <w:proofErr w:type="spellStart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Nazaret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, Gesù si è manifestato come Colui che il Signore ha consacrato e «mandato a portare ai poveri il lieto annuncio, a proclamare ai prigionieri la liberazione e ai ciechi la vista; a rimettere in libertà gli oppressi» (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Lc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4,18). Queste azioni messianiche, tipiche dei giubilei, costituiscono la testimonianza più eloquente della missione affidatagli dal Padre. Nella sua compassione, Cristo si avvicina ai malati nel corpo e nello spirito e li guarisce; perdona i peccatori e dona loro una vita nuova. Gesù è il Buon Pastore che si prende cura delle pecore (</w:t>
      </w:r>
      <w:proofErr w:type="spellStart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cfr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Gv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10,11-18; 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Ez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34,1-31); è il Buon Samaritano che si china sull’uomo ferito, medica le sue piaghe e si prende cura di lui (</w:t>
      </w:r>
      <w:proofErr w:type="spellStart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cfr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Lc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10,30-37).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Al culmine della sua missione, Gesù suggella la sua cura per noi offrendosi sulla croce e liberandoci così dalla schiavitù del peccato e della morte. Così, con il dono della sua vita e il suo sacrificio, Egli ci ha aperto la via dell’amore e dice a ciascuno: “Seguimi. Anche tu fa’ così” (</w:t>
      </w:r>
      <w:proofErr w:type="spellStart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cfr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Lc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10,37).</w:t>
      </w: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  <w:r w:rsidRPr="00085201"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  <w:t>LA CULTURA DELLA CURA NELLA VITA DEI SEGUACI DI GESÙ</w:t>
      </w: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 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Le opere di misericordia spirituale e corporale costituiscono il nucleo del servizio di carità della Chiesa primitiva. I cristiani della prima generazione praticavano la condivisione perché nessuno tra loro fosse bisognoso (</w:t>
      </w:r>
      <w:proofErr w:type="spellStart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cfr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At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4,34-35) e si sforzavano di rendere la comunità una casa accogliente, aperta ad ogni situazione umana, disposta a farsi carico dei più fragili. Divenne così abituale fare offerte volontarie per sfamare i poveri, seppellire i morti e nutrire gli orfani, gli anziani e le vittime di disastri, come i naufraghi. E quando, in periodi successivi, la generosità dei cristiani perse un po’ di slancio, alcuni Padri della Chiesa insistettero sul fatto che la proprietà è intesa da Dio per il bene comune. Ambrogio sosteneva che «la natura ha riversato tutte le cose per gli uomini per uso comune. [...] Pertanto, la natura ha prodotto un diritto comune per tutti, ma l’avidità lo ha reso un diritto per pochi».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Superate le persecuzioni dei primi secoli, la Chiesa ha approfittato della libertà per ispirare la società e la sua cultura. «La miseria dei tempi suscitò nuove forze al servizio della 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charitas</w:t>
      </w:r>
      <w:proofErr w:type="spellEnd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christiana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. La storia ricorda numerose opere di beneficenza. […] Furono eretti numerosi istituti a sollievo dell’umanità sofferente: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ospedali, ricoveri per i poveri, orfanotrofi e brefotrofi, ospizi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, ecc.».</w:t>
      </w: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  <w:r w:rsidRPr="00085201"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  <w:lastRenderedPageBreak/>
        <w:t>I PRINCIPI DELLA DOTTRINA SOCIALE DELLA CHIESA COME BASE DELLA CULTURA DELLA CURA</w:t>
      </w:r>
    </w:p>
    <w:p w:rsid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La 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diakonia</w:t>
      </w:r>
      <w:proofErr w:type="spellEnd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 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delle origini, arricchita dalla riflessione dei Padri e animata, attraverso i secoli, dalla carità operosa di tanti testimoni luminosi della fede, è diventata il cuore pulsante della dottrina sociale della Chiesa, offrendosi a tutte le persone di buona volontà come un prezioso patrimonio di principi, criteri e indicazioni, da cui attingere la “grammatica” della cura: la promozione della dignità di ogni persona umana, la solidarietà con i poveri e gli indifesi, la sollecitudine per il bene comune, la salvaguardia del creato.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* La cura come promozione della dignità e dei diritti della persona.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«Il concetto di persona, nato e maturato nel cristianesimo, aiuta a perseguire uno sviluppo pienamente umano. Perché persona dice sempre relazione, non individualismo, afferma l’inclusione e non l’esclusione, la dignità unica e inviolabile e non lo sfruttamento». Ogni persona umana è un fine in sé stessa, mai semplicemente uno strumento da apprezzare solo per la sua utilità, ed è creata per vivere insieme nella famiglia, nella comunità, nella società, dove tutti i membri sono uguali in dignità. È da tale dignità che derivano i diritti umani, come pure i doveri, che richiamano ad esempio la responsabilità di accogliere e soccorrere i poveri, i malati, gli emarginati, ogni nostro «prossimo, vicino o lontano nel tempo e nello spazio».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* La cura del bene comune.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Ogni aspetto della vita sociale, politica ed economica trova il suo compimento quando si pone al servizio del bene comune, ossia dell</w:t>
      </w:r>
      <w:proofErr w:type="gramStart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’«</w:t>
      </w:r>
      <w:proofErr w:type="gram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insieme di quelle condizioni della vita sociale che permettono sia alle collettività sia ai singoli membri, di raggiungere la propria perfezione più pienamente e più celermente». Pertanto, i nostri piani e sforzi devono sempre tenere conto degli effetti sull’intera famiglia umana, ponderando le conseguenze per il momento presente e per le generazioni future. Quanto ciò sia vero e attuale ce lo mostra la pandemia del Covid-19, davanti alla quale «ci siamo resi conto di trovarci sulla stessa barca, tutti fragili e disorientati, ma nello stesso tempo importanti e necessari, tutti chiamati a remare insieme», perché «nessuno si salva da solo» e nessuno Stato nazionale isolato può assicurare il bene comune della propria popolazione.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*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 xml:space="preserve"> La cura mediante la solidarietà.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La solidarietà esprime concretamente l’amore per l’altro, non come un sentimento vago, ma come «determinazione ferma e perseverante di impegnarsi per il bene comune: ossia per il bene di tutti e di ciascuno perché tutti siamo veramente responsabili di tutti». La solidarietà ci aiuta a vedere l’altro – sia come persona sia, in senso lato, come popolo o nazione – non come un dato statistico, o un mezzo da sfruttare e poi scartare quando non più utile, ma come nostro prossimo, compagno di strada, chiamato a partecipare, alla pari di noi, al banchetto della vita a cui tutti sono ugualmente invitati da Dio.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* 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La cura e la salvaguardia del creato.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L’Enciclica 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Laudato</w:t>
      </w:r>
      <w:proofErr w:type="spellEnd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 xml:space="preserve"> </w:t>
      </w:r>
      <w:proofErr w:type="spellStart"/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si’</w:t>
      </w:r>
      <w:proofErr w:type="spellEnd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prende atto pienamente dell’interconnessione di tutta la realtà creata e pone in risalto l’esigenza di ascoltare nello stesso tempo il grido dei bisognosi e quello del creato. Da questo ascolto attento e costante può nascere un’efficace cura della terra, nostra casa comune, e dei poveri. A questo proposito, desidero ribadire che «non può essere autentico un sentimento di intima unione con gli altri esseri della natura, se nello stesso tempo nel cuore non c’è tenerezza, compassione e preoccupazione per gli esseri umani».</w:t>
      </w:r>
      <w:r w:rsidRPr="00085201">
        <w:rPr>
          <w:rFonts w:ascii="Georgia" w:eastAsia="Times New Roman" w:hAnsi="Georgia" w:cs="Times New Roman"/>
          <w:color w:val="444444"/>
          <w:sz w:val="15"/>
          <w:szCs w:val="15"/>
          <w:lang w:eastAsia="it-IT"/>
        </w:rPr>
        <w:t> 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«Pace, giustizia e salvaguardia del creato sono tre questioni del tutto connesse, che non si potranno separare in modo da essere trattate singolarmente, a pena di ricadere nuovamente nel riduzionismo».</w:t>
      </w: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  <w:r w:rsidRPr="00085201"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  <w:t>LA BUSSOLA PER UNA ROTTA COMUNE</w:t>
      </w: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 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In un tempo dominato dalla cultura dello scarto, di fronte all’acuirsi delle disuguaglianze all’interno delle Nazioni e fra di esse, vorrei dunque invitare i responsabili delle Organizzazioni internazionali e dei Governi, del mondo economico e di quello scientifico, della comunicazione sociale e delle istituzioni educative a prendere in mano questa “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bussola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” dei principi sopra ricordati, per imprimere una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rotta comune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 xml:space="preserve"> al processo di globalizzazione, «una rotta veramente umana». Questa, infatti, consentirebbe di apprezzare il valore e la dignità di ogni persona, di agire insieme e in solidarietà per il bene comune, 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lastRenderedPageBreak/>
        <w:t>sollevando quanti soffrono dalla povertà, dalla malattia, dalla schiavitù, dalla discriminazione e dai conflitti. Mediante questa bussola, incoraggio tutti a diventare profeti e testimoni della cultura della cura, per colmare tante disuguaglianze sociali. E ciò sarà possibile soltanto con un forte e diffuso protagonismo delle donne, nella famiglia e in ogni ambito sociale, politico e istituzionale.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La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bussola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dei principi sociali, necessaria a promuovere la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cultura della cura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, è indicativa anche per le relazioni tra le Nazioni, che dovrebbero essere ispirate alla fratellanza, al rispetto reciproco, alla solidarietà e all’osservanza del diritto internazionale. A tale proposito, vanno ribadite la tutela e la promozione dei diritti umani fondamentali, che sono inalienabili, universali e indivisibili.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Va richiamato anche il rispetto del diritto umanitario, soprattutto in questa fase in cui conflitti e guerre si susseguono senza interruzione. Purtroppo molte regioni e comunità hanno smesso di ricordare un tempo in cui vivevano in pace e sicurezza. Numerose città sono diventate come epicentri dell’insicurezza: i loro abitanti lottano per mantenere i loro ritmi normali, perché vengono attaccati e bombardati indiscriminatamente da esplosivi, artiglieria e armi leggere. I bambini non possono studiare. Uomini e donne non possono lavorare per mantenere le famiglie. La carestia attecchisce dove un tempo era sconosciuta. Le persone sono costrette a fuggire, lasciando dietro di sé non solo le proprie case, ma anche la storia familiare e le radici culturali.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Le cause di conflitto sono tante, ma il risultato è sempre lo stesso: distruzione e crisi umanitaria. Dobbiamo fermarci e chiederci: cosa ha portato alla normalizzazione del conflitto nel mondo? E, soprattutto, come convertire il nostro cuore e cambiare la nostra mentalità per cercare veramente la pace nella solidarietà e nella fraternità?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Quanta dispersione di risorse vi è per le armi, in particolare per quelle nucleari, risorse che potrebbero essere utilizzate per priorità più significative per garantire la sicurezza delle persone, quali la promozione della pace e dello sviluppo umano integrale, la lotta alla povertà, la garanzia dei bisogni sanitari. Anche questo, d’altronde, è messo in luce da problemi globali come l’attuale pandemia da Covid-19 e dai cambiamenti climatici. Che decisione coraggiosa sarebbe quella di «costituire con i soldi che s’impiegano nelle armi e in altre spese militari un “Fondo mondiale” per poter eliminare definitivamente la fame e contribuire allo sviluppo dei Paesi più poveri»!</w:t>
      </w: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  <w:r w:rsidRPr="00085201"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  <w:t>PER EDUCARE ALLA CULTURA DELLA CURA</w:t>
      </w:r>
    </w:p>
    <w:p w:rsid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bookmarkStart w:id="0" w:name="_GoBack"/>
      <w:bookmarkEnd w:id="0"/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La promozione della cultura della cura richiede un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processo educativo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e la bussola dei principi sociali costituisce, a tale scopo, uno strumento affidabile per vari contesti tra loro correlati. Vorrei fornire al riguardo alcuni esempi.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- L’educazione alla cura nasce nella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famiglia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, nucleo</w:t>
      </w:r>
      <w:r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 xml:space="preserve"> naturale e fondamentale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della società, dove s’impara a vivere in relazione e nel rispetto reciproco. Tuttavia, la famiglia ha bisogno di essere posta nelle condizioni per poter adempiere questo compito vitale e indispensabile.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- Sempre in collaborazione con la famiglia, altri soggetti preposti all’educazione sono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la scuola e l’università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, e analogamente, per certi aspetti, i soggetti della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 comunicazione sociale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. Essi sono chiamati a veicolare un sistema di valori fondato sul riconoscimento della dignità di ogni persona, di ogni comunità linguistica, etnica e religiosa, di ogni popolo e dei diritti fondamentali che ne derivano. L’educazione costituisce uno dei pilastri di società più giuste e solidali.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- Le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religioni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in generale, e i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leader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religiosi in particolare, possono svolgere un ruolo insostituibile nel trasmettere ai fedeli e alla società i valori della solidarietà, del rispetto delle differenze, dell’accoglienza e della cura dei fratelli più fragili. Ricordo, a tale proposito, le parole del Papa Paolo VI rivolte al Parlamento ugandese nel 1969: «Non temete la Chiesa; essa vi onora, vi educa cittadini onesti e leali, non fomenta rivalità e divisioni, cerca di promuovere la sana libertà, la giustizia sociale, la pace; se essa ha qualche preferenza, questa è per i poveri, per l’educazione dei piccoli e del popolo, per la cura dei sofferenti e dei derelitti».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 xml:space="preserve">- A quanti sono impegnati al servizio delle popolazioni, nelle organizzazioni internazionali, governative e non governative, aventi una missione educativa, e a tutti coloro che, a vario titolo, operano nel campo dell’educazione e della ricerca, rinnovo il mio incoraggiamento, affinché si possa giungere al traguardo di un’educazione «più aperta ed inclusiva, capace di ascolto paziente, di dialogo costruttivo e di mutua 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lastRenderedPageBreak/>
        <w:t>comprensione». Mi auguro che questo invito, rivolto nell’ambito del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Patto educativo globale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, possa trovare ampia e variegata adesione.</w:t>
      </w:r>
    </w:p>
    <w:p w:rsid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</w:pPr>
      <w:r w:rsidRPr="00085201">
        <w:rPr>
          <w:rFonts w:ascii="Arial" w:eastAsia="Times New Roman" w:hAnsi="Arial" w:cs="Arial"/>
          <w:b/>
          <w:bCs/>
          <w:caps/>
          <w:color w:val="444444"/>
          <w:sz w:val="21"/>
          <w:szCs w:val="21"/>
          <w:lang w:eastAsia="it-IT"/>
        </w:rPr>
        <w:t>NON C’È PACE SENZA LA CULTURA DELLA CURA</w:t>
      </w:r>
    </w:p>
    <w:p w:rsidR="00085201" w:rsidRPr="00085201" w:rsidRDefault="00085201" w:rsidP="00085201">
      <w:pPr>
        <w:shd w:val="clear" w:color="auto" w:fill="FFFFFF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  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La </w:t>
      </w:r>
      <w:r w:rsidRPr="00085201">
        <w:rPr>
          <w:rFonts w:ascii="inherit" w:eastAsia="Times New Roman" w:hAnsi="inherit" w:cs="Times New Roman"/>
          <w:i/>
          <w:iCs/>
          <w:color w:val="444444"/>
          <w:sz w:val="21"/>
          <w:szCs w:val="21"/>
          <w:bdr w:val="none" w:sz="0" w:space="0" w:color="auto" w:frame="1"/>
          <w:lang w:eastAsia="it-IT"/>
        </w:rPr>
        <w:t>cultura della cura</w:t>
      </w: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, quale impegno comune, solidale e partecipativo per proteggere e promuovere la dignità e il bene di tutti, quale disposizione ad interessarsi, a prestare attenzione, alla compassione, alla riconciliazione e alla guarigione, al rispetto mutuo e all’accoglienza reciproca, costituisce una via privilegiata per la costruzione della pace. «In molte parti del mondo occorrono percorsi di pace che conducano a rimarginare le ferite, c’è bisogno di artigiani di pace disposti ad avviare processi di guarigione e di rinnovato incontro con ingegno e audacia».</w:t>
      </w: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In questo tempo, nel quale la barca dell’umanità, scossa dalla tempesta della crisi, procede faticosamente in cerca di un orizzonte più calmo e sereno, il timone della dignità della persona umana e la “bussola” dei principi sociali fondamentali ci possono permettere di navigare con una rotta sicura e comune. Come cristiani, teniamo lo sguardo rivolto alla Vergine Maria, Stella del mare e Madre della speranza. Tutti insieme collaboriamo per avanzare verso un nuovo orizzonte di amore e di pace, di fraternità e di solidarietà, di sostegno vicendevole e di accoglienza reciproca. Non cediamo alla tentazione di disinteressarci degli altri, specialmente dei più deboli, non abituiamoci a voltare lo sguardo, ma impegniamoci ogni giorno concretamente per «formare una comunità composta da fratelli che si accolgono reciprocamente, prendendosi cura gli uni degli altri».</w:t>
      </w:r>
    </w:p>
    <w:p w:rsid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</w:p>
    <w:p w:rsidR="00085201" w:rsidRPr="00085201" w:rsidRDefault="00085201" w:rsidP="00085201">
      <w:pPr>
        <w:shd w:val="clear" w:color="auto" w:fill="FFFFFF"/>
        <w:spacing w:after="0" w:line="27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</w:pPr>
      <w:r w:rsidRPr="00085201">
        <w:rPr>
          <w:rFonts w:ascii="Georgia" w:eastAsia="Times New Roman" w:hAnsi="Georgia" w:cs="Times New Roman"/>
          <w:color w:val="444444"/>
          <w:sz w:val="21"/>
          <w:szCs w:val="21"/>
          <w:lang w:eastAsia="it-IT"/>
        </w:rPr>
        <w:t>Dal Vaticano, 8 dicembre 2020</w:t>
      </w:r>
    </w:p>
    <w:p w:rsidR="00B11941" w:rsidRDefault="00B11941"/>
    <w:sectPr w:rsidR="00B119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32"/>
    <w:rsid w:val="00085201"/>
    <w:rsid w:val="005A6C32"/>
    <w:rsid w:val="00B1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C7694-11D0-4748-8D0E-19DAEE45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5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85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85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52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520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520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date">
    <w:name w:val="date"/>
    <w:basedOn w:val="Carpredefinitoparagrafo"/>
    <w:rsid w:val="00085201"/>
  </w:style>
  <w:style w:type="character" w:styleId="Collegamentoipertestuale">
    <w:name w:val="Hyperlink"/>
    <w:basedOn w:val="Carpredefinitoparagrafo"/>
    <w:uiPriority w:val="99"/>
    <w:semiHidden/>
    <w:unhideWhenUsed/>
    <w:rsid w:val="0008520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8520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8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85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9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66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5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7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2820</Words>
  <Characters>16075</Characters>
  <Application>Microsoft Office Word</Application>
  <DocSecurity>0</DocSecurity>
  <Lines>133</Lines>
  <Paragraphs>37</Paragraphs>
  <ScaleCrop>false</ScaleCrop>
  <Company/>
  <LinksUpToDate>false</LinksUpToDate>
  <CharactersWithSpaces>18858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Paparella</dc:creator>
  <cp:keywords/>
  <dc:description/>
  <cp:lastModifiedBy>Angela Paparella</cp:lastModifiedBy>
  <cp:revision>2</cp:revision>
  <dcterms:created xsi:type="dcterms:W3CDTF">2020-12-18T17:03:00Z</dcterms:created>
  <dcterms:modified xsi:type="dcterms:W3CDTF">2020-12-18T17:09:00Z</dcterms:modified>
</cp:coreProperties>
</file>